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CE" w:rsidRPr="008C04C7" w:rsidRDefault="00D257CE" w:rsidP="00D257CE">
      <w:pPr>
        <w:jc w:val="both"/>
        <w:rPr>
          <w:rFonts w:ascii="Times New Roman" w:hAnsi="Times New Roman" w:cs="Times New Roman"/>
          <w:sz w:val="28"/>
          <w:szCs w:val="28"/>
        </w:rPr>
      </w:pPr>
      <w:bookmarkStart w:id="0" w:name="_GoBack"/>
      <w:bookmarkEnd w:id="0"/>
      <w:r w:rsidRPr="008C04C7">
        <w:rPr>
          <w:rFonts w:ascii="Times New Roman" w:hAnsi="Times New Roman" w:cs="Times New Roman"/>
          <w:sz w:val="28"/>
          <w:szCs w:val="28"/>
        </w:rPr>
        <w:t>Вопрос: «Прошу изложить позицию Росприроднадзора по расчету и оплате за ущерб растительному и животному миру (период строительно-монтажных работ на объектах строительства).</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xml:space="preserve">Ответ: </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В соответствии Положением об Управлении Федеральной службы по надзору в сфере природопользования (Росприроднадзора) по Томской области", утвержденного приказом Росприроднадзора от 25.08.2016 № 568,  Управление вправе осуществлять федеральный государственный надзор в области охраны, воспроизводства и использования объектов животного мира и среды их обитания и федеральный государственный лесной надзор (лесную охрану) на землях особо охраняемых природных территорий федерального значения.</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На территории Томской области, особо охраняемые природные территориях федерального значения отсутствуют.</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Расчет размера вреда Управлением может проводиться, в соответствии с существующими методиками, а именно:</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приказом МПР России от 28.04.2008 № 107 (ред. от 12.12.2012), утверждена Методика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приказом Минприроды РФ от 01.08.2011 № 658, утверждены таксы для исчисления размера вреда, причиненного объектам растительного мира, занесенным в Красную книгу Российской Федерации, и среде их обитания вследствие нарушения законодательства в области охраны окружающей среды и природопользования.</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приказом Минприроды России от 08.12.2011 № 948 (ред. от 22.07.2013), утверждена Методика исчисления размера вреда, причиненного охотничьим ресурсам.</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xml:space="preserve"> Расчет размера вреда может осуществляться только в случае выявленных Управлением в ходе надзорных мероприятий, нарушений законодательства Российской Федерации в области охраны окружающей среды.</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xml:space="preserve">Для  применения такой меры гражданско-правовой ответственности, как возмещение вреда необходимо доказать одновременное наличие нескольких </w:t>
      </w:r>
      <w:r w:rsidRPr="008C04C7">
        <w:rPr>
          <w:rFonts w:ascii="Times New Roman" w:hAnsi="Times New Roman" w:cs="Times New Roman"/>
          <w:sz w:val="28"/>
          <w:szCs w:val="28"/>
        </w:rPr>
        <w:lastRenderedPageBreak/>
        <w:t>условий: факт причинения вреда и его размер, противоправность действий (бездействия) причинителя вреда, его вину, причинно - следственную связь между противоправным деянием и возникшим ущербом.</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При наличии указанных обстоятельств порядок и оплата за причиненный вред осуществляется следующим образом. Управление рассчитывает  размер вреда и направляет причинителю вреда претензию о добровольном возмещении вреда с указанием срока оплаты. В случае неуплаты в установленный срок вреда Управление обращается с иском в Арбитражный суд Томской области для взыскания причиненного вреда в судебном порядке.</w:t>
      </w:r>
    </w:p>
    <w:p w:rsidR="00D257CE" w:rsidRPr="008C04C7" w:rsidRDefault="00D257CE" w:rsidP="00D257CE">
      <w:pPr>
        <w:jc w:val="both"/>
        <w:rPr>
          <w:rFonts w:ascii="Times New Roman" w:hAnsi="Times New Roman" w:cs="Times New Roman"/>
          <w:sz w:val="28"/>
          <w:szCs w:val="28"/>
        </w:rPr>
      </w:pP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xml:space="preserve">   Вопрос: Каким образом учитываются административные правонарушения при отнесении деятельности юридических лиц к определенной категории риска или определенному класса (категории) опасности, если они выданы на юридическое лицо, а не на объект?</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xml:space="preserve">Ответ: </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В соответствии со ст. 1 Федерального закона от 10.01.2002 N 7-ФЗ (ред. от 29.07.2017) "Об охране окружающей среды" 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Согласно административному законодательству РФ наказание может быть назначено юридическому лицу, физическому, должностному, ИП. В настоящее время законодательством не предусмотрена возможность привлечения к административной ответственности  объектов, оказывающих негативное воздействие на окружающую среду.</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xml:space="preserve">При отнесении деятельности юридических лиц к определенной категории риска следует руководствоваться  критериями, установленными Постановлением Правительства от 08.05.2014 № 426. </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xml:space="preserve">В соответствии с п.3 указанных критерий категория риска увеличивается при наличии постановления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w:t>
      </w:r>
      <w:r w:rsidRPr="008C04C7">
        <w:rPr>
          <w:rFonts w:ascii="Times New Roman" w:hAnsi="Times New Roman" w:cs="Times New Roman"/>
          <w:sz w:val="28"/>
          <w:szCs w:val="28"/>
        </w:rPr>
        <w:lastRenderedPageBreak/>
        <w:t>предусмотренного статьями 7.3 - 7.6, 8.2, частями 1 и 2 статьи 8.4, статьями 8.6, 8.7, 8.9, частью 1 статьи 8.10, статьями 8.11 - 8.14, частью 1 статьи 8.17, статьями 8.19, 8.21, 8.32, 8.42, 8.44, 8.45, а также частями 2, 3 и 4 статьи 14.1 и статьей 19.20 (в части деятельности по сбору, транспортированию, обработке, утилизации, обезвреживанию, размещению отходов I - IV классов опасности) Кодекса Российской Федерации об административных правонарушениях и совершенного при осуществлении деятельности с использованием объекта государственного надзора, вынесенного должностными лицами Федеральной службы по надзору в сфере природопользования или судом на основании протокола об административном правонарушении, составленного должностными лицами указанного органа.</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xml:space="preserve">Таким образом, определяющим фактором является использование хозяйствующим субъектом конкретного объекта государственного контроля при конкретном совершении противоправного деяния, соответственно категория риска будет увеличена, только означенного объекта.  </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xml:space="preserve">Вопрос: </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Нужен ли договор водопользования для обслуживания ледовой переправы?</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Основания приобретения права пользования поверхностными водными объектами или их частями прописаны в ст.11 Водного кодекса РФ.</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Ответ:</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26.07.2017 года ФЗ № 208 в Водный кодекс РФ внесены изменения, вступившие в силу 06.08.2017  года.</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Так, согласно добавленной ст. 51.2 Водного кодекса РФ,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 Ледовая переправа является линейным объектом, следовательно договор водопользования для обслуживания ледовой переправы не требуется.</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Вопрос: на основании, каких документом можно осуществлять размещение в пластах горных пород попутных вод и вод, использованных для собственных производственных и технологических нужд, при разведке и добыче углеводородного сырья.</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lastRenderedPageBreak/>
        <w:t xml:space="preserve">Ответ: </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 xml:space="preserve">В начале необходимо: в соответствии со ст. 29 Закона РФ «О недрах» в порядке, утвержденном постановлением Правительства Российской Федерации от 11.02.2005 № 69 «Положение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представить на государственную экспертизу материалы по геологической информации об участке недр (отчёт) по обоснованию возможности размещения в пластах горных пород попутных вод и вод, использованных для собственных производственных и технологических нужд, при разведке и добыче углеводородного сырья. </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Затем, в соответствии со ст. 23.2 Закона РФ «О недрах» в порядке, утвержденном постановлением Правительства Российской Федерации от 03.03.2010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разработать, согласовать и утвердить проектную документацию по размещению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Затем, в порядке «Положения о порядке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(утв. приказом Минприроды России от 02.12.2015 № 522) направить уведомление о размещении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(далее уведомление) в территориальный фонд геологической информации по месту нахождения участка недр.</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Территориальный фонд геологической информации по месту нахождения участка недр в течение 5 дней со дня поступления уведомления осуществляет регистрацию уведомления и в письменной форме извещает пользователя недр о регистрации уведомления.</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lastRenderedPageBreak/>
        <w:t>И только после регистрации уведомления пользователь недр имеет право размещать в пластах горных пород попутных вод и вод, использованных пользователями недр для собственных производственных и технологических н</w:t>
      </w:r>
      <w:r>
        <w:rPr>
          <w:rFonts w:ascii="Times New Roman" w:hAnsi="Times New Roman" w:cs="Times New Roman"/>
          <w:sz w:val="28"/>
          <w:szCs w:val="28"/>
        </w:rPr>
        <w:t>у</w:t>
      </w:r>
      <w:r w:rsidRPr="008C04C7">
        <w:rPr>
          <w:rFonts w:ascii="Times New Roman" w:hAnsi="Times New Roman" w:cs="Times New Roman"/>
          <w:sz w:val="28"/>
          <w:szCs w:val="28"/>
        </w:rPr>
        <w:t>жд при разведке и добыче углеводородного сырья».</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Вопрос:</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Необходимо ли регистрировать паспорта установок пылегазоочистки и существует ли порядок такой регистрации.</w:t>
      </w:r>
    </w:p>
    <w:p w:rsidR="00D257CE" w:rsidRPr="008C04C7" w:rsidRDefault="00D257CE" w:rsidP="00D257CE">
      <w:pPr>
        <w:jc w:val="both"/>
        <w:rPr>
          <w:rFonts w:ascii="Times New Roman" w:hAnsi="Times New Roman" w:cs="Times New Roman"/>
          <w:sz w:val="28"/>
          <w:szCs w:val="28"/>
        </w:rPr>
      </w:pPr>
      <w:r w:rsidRPr="008C04C7">
        <w:rPr>
          <w:rFonts w:ascii="Times New Roman" w:hAnsi="Times New Roman" w:cs="Times New Roman"/>
          <w:sz w:val="28"/>
          <w:szCs w:val="28"/>
        </w:rPr>
        <w:t>Ответ:</w:t>
      </w:r>
    </w:p>
    <w:p w:rsidR="00D257CE" w:rsidRPr="008C04C7" w:rsidRDefault="00D257CE" w:rsidP="00D257CE">
      <w:pPr>
        <w:spacing w:after="0" w:line="240" w:lineRule="auto"/>
        <w:jc w:val="both"/>
        <w:rPr>
          <w:rFonts w:ascii="Times New Roman" w:hAnsi="Times New Roman" w:cs="Times New Roman"/>
          <w:sz w:val="28"/>
          <w:szCs w:val="28"/>
        </w:rPr>
      </w:pPr>
      <w:r w:rsidRPr="008C04C7">
        <w:rPr>
          <w:rFonts w:ascii="Times New Roman" w:hAnsi="Times New Roman" w:cs="Times New Roman"/>
          <w:sz w:val="28"/>
          <w:szCs w:val="28"/>
        </w:rPr>
        <w:t xml:space="preserve">На настоящий момент действующее законодательство в области охраны окружающей среды  не содержит положений, предусматривающих необходимость регистрации паспортов ПГУ.  </w:t>
      </w:r>
    </w:p>
    <w:p w:rsidR="00D257CE" w:rsidRPr="008C04C7" w:rsidRDefault="00D257CE" w:rsidP="00D257CE">
      <w:pPr>
        <w:spacing w:after="0" w:line="240" w:lineRule="auto"/>
        <w:jc w:val="both"/>
        <w:rPr>
          <w:rFonts w:ascii="Times New Roman" w:hAnsi="Times New Roman" w:cs="Times New Roman"/>
          <w:sz w:val="28"/>
          <w:szCs w:val="28"/>
        </w:rPr>
      </w:pPr>
      <w:r w:rsidRPr="008C04C7">
        <w:rPr>
          <w:rFonts w:ascii="Times New Roman" w:hAnsi="Times New Roman" w:cs="Times New Roman"/>
          <w:sz w:val="28"/>
          <w:szCs w:val="28"/>
        </w:rPr>
        <w:t>Учитывая, что форма заявки о постановке объектов негативного воздействия на окружающую среду, на государственный учет  (раздел IV) формы  предусматривает подачу сведений  о технических средствах по обезвреживанию выбросов загрязняющих веществ.</w:t>
      </w:r>
    </w:p>
    <w:p w:rsidR="00D257CE" w:rsidRDefault="00D257CE" w:rsidP="00D257CE">
      <w:pPr>
        <w:spacing w:after="0" w:line="240" w:lineRule="auto"/>
        <w:jc w:val="both"/>
        <w:rPr>
          <w:rFonts w:ascii="Times New Roman" w:hAnsi="Times New Roman" w:cs="Times New Roman"/>
          <w:sz w:val="28"/>
          <w:szCs w:val="28"/>
        </w:rPr>
      </w:pPr>
      <w:r w:rsidRPr="008C04C7">
        <w:rPr>
          <w:rFonts w:ascii="Times New Roman" w:hAnsi="Times New Roman" w:cs="Times New Roman"/>
          <w:sz w:val="28"/>
          <w:szCs w:val="28"/>
        </w:rPr>
        <w:t>Заявителю необходимо представить в данном разделе тип установки, мощность, фактическую эффективность работы установок очистки газа.</w:t>
      </w:r>
    </w:p>
    <w:p w:rsidR="00D257CE" w:rsidRDefault="00D257CE" w:rsidP="00D25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257CE" w:rsidRDefault="00D257CE" w:rsidP="00D257CE">
      <w:pPr>
        <w:spacing w:after="0" w:line="240" w:lineRule="auto"/>
        <w:jc w:val="both"/>
        <w:rPr>
          <w:rFonts w:ascii="Times New Roman" w:hAnsi="Times New Roman" w:cs="Times New Roman"/>
          <w:sz w:val="28"/>
          <w:szCs w:val="28"/>
        </w:rPr>
      </w:pPr>
      <w:r w:rsidRPr="00FE5043">
        <w:rPr>
          <w:rFonts w:ascii="Times New Roman" w:hAnsi="Times New Roman" w:cs="Times New Roman"/>
          <w:sz w:val="28"/>
          <w:szCs w:val="28"/>
        </w:rPr>
        <w:t>Вопрос</w:t>
      </w:r>
      <w:r>
        <w:rPr>
          <w:rFonts w:ascii="Times New Roman" w:hAnsi="Times New Roman" w:cs="Times New Roman"/>
          <w:sz w:val="28"/>
          <w:szCs w:val="28"/>
        </w:rPr>
        <w:t>:</w:t>
      </w:r>
    </w:p>
    <w:p w:rsidR="00D257CE" w:rsidRPr="00FE5043" w:rsidRDefault="00D257CE" w:rsidP="00D257CE">
      <w:pPr>
        <w:spacing w:after="0" w:line="240" w:lineRule="auto"/>
        <w:jc w:val="both"/>
        <w:rPr>
          <w:rFonts w:ascii="Times New Roman" w:hAnsi="Times New Roman" w:cs="Times New Roman"/>
          <w:sz w:val="28"/>
          <w:szCs w:val="28"/>
        </w:rPr>
      </w:pPr>
      <w:r w:rsidRPr="00FE5043">
        <w:rPr>
          <w:rFonts w:ascii="Times New Roman" w:hAnsi="Times New Roman" w:cs="Times New Roman"/>
          <w:sz w:val="28"/>
          <w:szCs w:val="28"/>
        </w:rPr>
        <w:t xml:space="preserve">Как </w:t>
      </w:r>
      <w:r>
        <w:rPr>
          <w:rFonts w:ascii="Times New Roman" w:hAnsi="Times New Roman" w:cs="Times New Roman"/>
          <w:sz w:val="28"/>
          <w:szCs w:val="28"/>
        </w:rPr>
        <w:t>н</w:t>
      </w:r>
      <w:r w:rsidRPr="00FE5043">
        <w:rPr>
          <w:rFonts w:ascii="Times New Roman" w:hAnsi="Times New Roman" w:cs="Times New Roman"/>
          <w:sz w:val="28"/>
          <w:szCs w:val="28"/>
        </w:rPr>
        <w:t xml:space="preserve">ормировать </w:t>
      </w:r>
      <w:r>
        <w:rPr>
          <w:rFonts w:ascii="Times New Roman" w:hAnsi="Times New Roman" w:cs="Times New Roman"/>
          <w:sz w:val="28"/>
          <w:szCs w:val="28"/>
        </w:rPr>
        <w:t>п</w:t>
      </w:r>
      <w:r w:rsidRPr="00FE5043">
        <w:rPr>
          <w:rFonts w:ascii="Times New Roman" w:hAnsi="Times New Roman" w:cs="Times New Roman"/>
          <w:sz w:val="28"/>
          <w:szCs w:val="28"/>
        </w:rPr>
        <w:t xml:space="preserve">арковки? </w:t>
      </w:r>
    </w:p>
    <w:p w:rsidR="00D257CE" w:rsidRDefault="00D257CE" w:rsidP="00D257CE">
      <w:pPr>
        <w:spacing w:after="0" w:line="240" w:lineRule="auto"/>
        <w:jc w:val="both"/>
        <w:rPr>
          <w:rFonts w:ascii="Times New Roman" w:hAnsi="Times New Roman" w:cs="Times New Roman"/>
          <w:sz w:val="28"/>
          <w:szCs w:val="28"/>
        </w:rPr>
      </w:pPr>
    </w:p>
    <w:p w:rsidR="00D257CE" w:rsidRPr="00FE5043" w:rsidRDefault="00D257CE" w:rsidP="00D25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Например, согласно Характеристике предприятия … на территории, прилегающей к торговому комплексу, организована гостевая парковка посетителей торгового центра вместимостью 400 машиномест.</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Согласно Гражданскому кодексу Российской Федерации собственник несет бремя содержания принадлежащего ему имущества, если иное не предусмотрено законом или договором (ст.210 ГК РФ).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(п.2 ст. 209 ГК РФ). Владение, пользование и распоряжение землей осуществляются их собственником свободно, если это не наносит ущерба окружающей среде и не нарушает прав и законных интересов других лиц.</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 xml:space="preserve">Согласно Инструкция по инвентаризации выбросов загрязняющих веществ в атмосферу (утв. Госкомприроды СССР), под источником выделения загрязняющих веществ понимают объект, в котором происходит образование загрязняющих веществ (т.е. это автомобиль вне зависимости от принадлежности права собственности к конкретному хозяйствующему субъекту). А источник загрязнения атмосферы - объект, от которого загрязняющее вещество поступает в атмосферу (т.е. это гостевая парковка </w:t>
      </w:r>
      <w:r w:rsidRPr="00FE5043">
        <w:rPr>
          <w:rFonts w:ascii="Times New Roman" w:hAnsi="Times New Roman" w:cs="Times New Roman"/>
          <w:sz w:val="28"/>
          <w:szCs w:val="28"/>
        </w:rPr>
        <w:lastRenderedPageBreak/>
        <w:t>автотранспорта). При этом, источник загрязнения является стационарным, если он расположен в переделах земельного участка, находящегося в распоряжении (владении) конкретного хозяйствующего субъекта, не меняет координаты в процессе выброса, местоположение которого определено с применением единой государственной системы координат…</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В соответствии с п.3.2. Инструкции по инвентаризации… при проведении инвентаризации предприятие обязано учесть все поступающие в атмосферу загрязняющие вещества, которые присутствуют в материальном балансе применяемых технологических процессов, от всех стационарных источников загрязнения (организованных и неорганизованных), имеющихся на предприятии, и автотранспорта.</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Позиция, изложенная в письмах ОАО «НИИ Атмосфера» № 1-70/13.0-1 от 07.02.2013, письме Росприроднадзора от 22.08.2017 № ОД-03-01-32/18476, противоречит позиции Методического пособия по расчету, нормированию и контролю выбросов загрязняющих веществ в атмосферный воздух 2012 года (введено в действие письмом Минприроды РФ № 05-12-47/4521 от 29.03.2012).</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 xml:space="preserve">Цитирую «При инвентаризации должны быть выявлены и учтены все возможные источники выделения и выброса ЗВ в атмосферу, которые постоянно или временно эксплуатируются или хранятся на производственной территории предприятия (в т.ч., и передвижные), а также вредные вещества, которые могут выделиться или образоваться при осуществлении всех процессов… Все источники, относящиеся к конкретной территории предприятия, являются стационарными источниками выброса вредных (загрязняющих) веществ в атмосферный воздух». </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Все письма не являются нормативно правовыми актами РФ, а выражают мнения конкретных авторов. В судебных и иных инстанциях письма не принимаются во внимание, а позиция изложенная в них не подлежит обязательному исполнению.</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Таким образом, в соответствии с требованиями нормативно-правовых актов Российской Федерации, если земельный участок, на котором организована гостевая или собственная парковка находится в распоряжении (собственности) ЮЛ (ИП), для ее эксплуатации (размещения автомобилей) в качестве источника загрязнения  атмосферы необходимо чтоб на нее были установлены нормативы выбросов (п.3 ст.12 ФЗ «Об охране атмосферного воздуха»), а сами нормативы выбросов должны быть включены в разрешение на выбросы (п.1. ст.14 ФЗ «Об охране атмосферного воздуха»).</w:t>
      </w:r>
    </w:p>
    <w:p w:rsidR="00D257CE"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 xml:space="preserve">Эксплуатация подобных источников (гостевая парковка, разгрузочная рампа, работа техники на территории предприятия и т.д.), на которые неустановленны нормативы и не получено разрешение влечет за собой привлечение к административной ответственности по ст. 8.21. КоАП РФ и наложение административного штрафа на должностных лиц - от сорока тысяч до пятидесяти тысяч рублей, на юридических лиц - от ста восьмидесяти тысяч до двухсот пятидесяти тысяч рублей или </w:t>
      </w:r>
      <w:r w:rsidRPr="00FE5043">
        <w:rPr>
          <w:rFonts w:ascii="Times New Roman" w:hAnsi="Times New Roman" w:cs="Times New Roman"/>
          <w:sz w:val="28"/>
          <w:szCs w:val="28"/>
        </w:rPr>
        <w:lastRenderedPageBreak/>
        <w:t>административное приостановление деятельности на срок до девяноста суток.</w:t>
      </w:r>
    </w:p>
    <w:p w:rsidR="00D257CE" w:rsidRDefault="00D257CE" w:rsidP="00D257CE">
      <w:pPr>
        <w:spacing w:after="0" w:line="240" w:lineRule="auto"/>
        <w:jc w:val="both"/>
        <w:rPr>
          <w:rFonts w:ascii="Times New Roman" w:hAnsi="Times New Roman" w:cs="Times New Roman"/>
          <w:sz w:val="28"/>
          <w:szCs w:val="28"/>
        </w:rPr>
      </w:pPr>
    </w:p>
    <w:p w:rsidR="00D257CE" w:rsidRPr="00FE5043" w:rsidRDefault="00D257CE" w:rsidP="00D25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Вопрос: К</w:t>
      </w:r>
      <w:r w:rsidRPr="00FE5043">
        <w:rPr>
          <w:rFonts w:ascii="Times New Roman" w:hAnsi="Times New Roman" w:cs="Times New Roman"/>
          <w:sz w:val="28"/>
          <w:szCs w:val="28"/>
        </w:rPr>
        <w:t>ак учитывать фоновое загрязнение?</w:t>
      </w:r>
    </w:p>
    <w:p w:rsidR="00D257CE" w:rsidRPr="00FE5043" w:rsidRDefault="00D257CE" w:rsidP="00D257CE">
      <w:pPr>
        <w:spacing w:after="0" w:line="240" w:lineRule="auto"/>
        <w:jc w:val="both"/>
        <w:rPr>
          <w:rFonts w:ascii="Times New Roman" w:hAnsi="Times New Roman" w:cs="Times New Roman"/>
          <w:sz w:val="28"/>
          <w:szCs w:val="28"/>
        </w:rPr>
      </w:pPr>
    </w:p>
    <w:p w:rsidR="00D257CE" w:rsidRDefault="00D257CE" w:rsidP="00D25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Ответ: </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Учет фонового загрязнения атмосферного воздуха при установлении нормативов ПДВ является обязательным требованием ряда нормативно-правовых актов.</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Например, п.2 ст. 16 ФЗ «Об охране атмосферного воздуха» требует учитывать фоновый уровень загрязнения атмосферного воздуха и прогноз изменения его качества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Также, в соответствии с п.6 постановления Правительства РФ от 02.03.2000 № 183 «О нормативах выбросов вредных (загрязняющих) веществ в атмосферный воздух и вредных физических воздействий на него» Управление полномочно устанавливать нормативы выбросов вредных (загрязняющих) веществ в атмосферный воздух для конкретных стационарных источников при учете всех источников выбросов вредных (загрязняющих) веществ в атмосферный воздух данного юридического лица или его отдельных производственных территорий и фонового загрязнения атмосферного воздуха.</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Порядок учета фонового загрязнения при установлении нормативов ПДВ описан в п. 3.3.2. ГОСТ 17.2.3.02-2014. Межгосударственный стандарт, п.7 ОНД-86 «Методика расчета концентраций в атмосферном воздухе вредных веществ, содержащихся в выбросах предприятий», утв. приказом Государственного комитета СССР по гидрометеорологии и контролю природной среды 04.08.1986 № 192, разделе 2.4 Методического пособия по расчету, нормированию и контролю выбросов загрязняющих веществ в атмосферный воздух (далее – Методическое пособие) (выкопировка прилагается), введенное в действие письмом Минприроды РФ № 05-12-47/4521 от 29.03.2012 г.</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Возможность применения положений Методического пособия и предшествующих ему методических пособий, в части, не противоречащей вышестоящим нормативно-правовым актам РФ, при разработке проектов нормативов ПДВ имеет положительную правовую оценку, например в постановлении Семнадцатого Арбитражного апелляционного суда от 29.10.2015 № 17АП-11899/2015-АК (копия прилагается), постановлении Седьмого Арбитражного апелляционного суда от 08.11.2012 по делу № А03-9204/2012 (копия прилагается) и т.д.</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На основании изложенного, в составе проектов нормативов ПДВ, представляемых в Управление, должны представляться данные о фоновом загрязнении атмосферного воздуха.</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lastRenderedPageBreak/>
        <w:t>По вопросу использования информации о фоновом загрязнении сообщаю следующее. Согласно п.4 раздела 2.4 Методического пособия, при отсутствии официальных данных по фоновым концентрациям, представляемых Росгидрометом на основе наблюдений на сети мониторинга, для населенных пунктов численностью до 100 тыс. человек, возможно использование данных из документа «Временные рекомендации. Фоновые концентрации для городов и поселков, где отсутствуют наблюдения за загрязнением атмосферы» (далее – Рекомендации по фону). Данный документ актуализирован на период 2014-2018 гг. (копия прилагается).</w:t>
      </w:r>
    </w:p>
    <w:p w:rsidR="00D257CE" w:rsidRPr="00FE5043"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Обращаю Ваше внимание, что Методическое пособие, рекомендует брать именно данные о фоновом загрязнении из Рекомендаций по фону, а не руководствоваться положениями Рекомендаций по фону.</w:t>
      </w:r>
    </w:p>
    <w:p w:rsidR="00D257CE" w:rsidRDefault="00D257CE" w:rsidP="00D257CE">
      <w:pPr>
        <w:spacing w:after="0" w:line="240" w:lineRule="auto"/>
        <w:ind w:firstLine="709"/>
        <w:jc w:val="both"/>
        <w:rPr>
          <w:rFonts w:ascii="Times New Roman" w:hAnsi="Times New Roman" w:cs="Times New Roman"/>
          <w:sz w:val="28"/>
          <w:szCs w:val="28"/>
        </w:rPr>
      </w:pPr>
      <w:r w:rsidRPr="00FE5043">
        <w:rPr>
          <w:rFonts w:ascii="Times New Roman" w:hAnsi="Times New Roman" w:cs="Times New Roman"/>
          <w:sz w:val="28"/>
          <w:szCs w:val="28"/>
        </w:rPr>
        <w:t>На основании Вышеизложенного, Управление Росприроднадзора по Томской области, указаний о необходимости предоставления платной справки из ГУ «Томский ЦГМС» не предъявляло ни одному из хозяйствующих субъектов.</w:t>
      </w:r>
    </w:p>
    <w:p w:rsidR="001F3D64" w:rsidRDefault="007A4703"/>
    <w:sectPr w:rsidR="001F3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CE"/>
    <w:rsid w:val="00064987"/>
    <w:rsid w:val="00434209"/>
    <w:rsid w:val="007A4703"/>
    <w:rsid w:val="00D25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14294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User069-29</dc:creator>
  <cp:lastModifiedBy>001</cp:lastModifiedBy>
  <cp:revision>2</cp:revision>
  <dcterms:created xsi:type="dcterms:W3CDTF">2020-09-27T09:59:00Z</dcterms:created>
  <dcterms:modified xsi:type="dcterms:W3CDTF">2020-09-27T09:59:00Z</dcterms:modified>
</cp:coreProperties>
</file>